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bookmarkStart w:id="0" w:name="_GoBack"/>
      <w:bookmarkEnd w:id="0"/>
      <w:r w:rsidRPr="00446F9D">
        <w:t xml:space="preserve">TSG-RAN WG1 </w:t>
      </w:r>
      <w:r w:rsidR="00466B56">
        <w:t>AdHoc 1801</w:t>
      </w:r>
      <w:r w:rsidRPr="00446F9D">
        <w:tab/>
      </w:r>
      <w:r w:rsidR="003C2310" w:rsidRPr="003C2310">
        <w:t>R1-1801065</w:t>
      </w:r>
    </w:p>
    <w:p w:rsidR="00A6549D" w:rsidRPr="000833FA" w:rsidRDefault="00466B56" w:rsidP="00A6549D">
      <w:pPr>
        <w:pStyle w:val="Header"/>
        <w:rPr>
          <w:color w:val="000000"/>
        </w:rPr>
      </w:pPr>
      <w:r>
        <w:t>Vancouver, Canada, January 22 – 26,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bookmarkStart w:id="2" w:name="_Hlk504031995"/>
      <w:r w:rsidR="008C33E3">
        <w:t>Outcome of offline discussion on</w:t>
      </w:r>
      <w:r w:rsidR="00262FC3">
        <w:t xml:space="preserve"> </w:t>
      </w:r>
      <w:r w:rsidR="00C60FA1">
        <w:t>7.3.</w:t>
      </w:r>
      <w:r w:rsidR="003B5C12">
        <w:t>3.1 (resource allocation)</w:t>
      </w:r>
      <w:r w:rsidR="00B3535F">
        <w:t xml:space="preserve"> – part I</w:t>
      </w:r>
    </w:p>
    <w:bookmarkEnd w:id="2"/>
    <w:p w:rsidR="00F618ED" w:rsidRPr="00E220C0" w:rsidRDefault="00F618ED" w:rsidP="00F618ED">
      <w:pPr>
        <w:pStyle w:val="Header"/>
        <w:tabs>
          <w:tab w:val="left" w:pos="1800"/>
        </w:tabs>
      </w:pPr>
      <w:r w:rsidRPr="00E220C0">
        <w:t>Agenda Item:</w:t>
      </w:r>
      <w:bookmarkStart w:id="3" w:name="Source"/>
      <w:bookmarkEnd w:id="3"/>
      <w:r w:rsidRPr="00E220C0">
        <w:tab/>
      </w:r>
      <w:r w:rsidR="004F430F">
        <w:t>7</w:t>
      </w:r>
      <w:r w:rsidR="00900A98">
        <w:t>.3.</w:t>
      </w:r>
      <w:r w:rsidR="003B5C12">
        <w:t>3.1</w:t>
      </w:r>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1939DB" w:rsidRDefault="0035157E" w:rsidP="001939DB">
      <w:pPr>
        <w:pStyle w:val="Heading1"/>
      </w:pPr>
      <w:r>
        <w:t>Discussion</w:t>
      </w:r>
    </w:p>
    <w:p w:rsidR="005E3C11" w:rsidRPr="005E3C11" w:rsidRDefault="005E3C11" w:rsidP="005E3C11">
      <w:pPr>
        <w:pStyle w:val="Heading2"/>
        <w:rPr>
          <w:lang w:val="en-US"/>
        </w:rPr>
      </w:pPr>
      <w:r w:rsidRPr="005E3C11">
        <w:rPr>
          <w:lang w:val="en-US"/>
        </w:rPr>
        <w:t xml:space="preserve">Size of the frequency-domain </w:t>
      </w:r>
      <w:r w:rsidR="00F21194" w:rsidRPr="005E3C11">
        <w:rPr>
          <w:lang w:val="en-US"/>
        </w:rPr>
        <w:t>resource</w:t>
      </w:r>
      <w:r w:rsidRPr="005E3C11">
        <w:rPr>
          <w:lang w:val="en-US"/>
        </w:rPr>
        <w:t xml:space="preserve"> allocation field</w:t>
      </w:r>
      <w:r w:rsidR="0035157E">
        <w:rPr>
          <w:lang w:val="en-US"/>
        </w:rPr>
        <w:t>, h</w:t>
      </w:r>
      <w:r w:rsidR="0035157E" w:rsidRPr="00F21194">
        <w:rPr>
          <w:lang w:val="en-US"/>
        </w:rPr>
        <w:t>andling of the BWP index</w:t>
      </w:r>
    </w:p>
    <w:p w:rsidR="00AE08EC" w:rsidRDefault="00AE08EC" w:rsidP="00AE08EC">
      <w:pPr>
        <w:pStyle w:val="BodyText"/>
      </w:pPr>
      <w:r>
        <w:t xml:space="preserve">How to determine the </w:t>
      </w:r>
      <w:r w:rsidR="00F21194">
        <w:t>number</w:t>
      </w:r>
      <w:r>
        <w:t xml:space="preserve"> </w:t>
      </w:r>
      <w:r w:rsidR="00F21194">
        <w:t>of</w:t>
      </w:r>
      <w:r>
        <w:t xml:space="preserve"> bits used for frequency-domain resource allocation (bitmap in case of allocation type 0)?</w:t>
      </w:r>
    </w:p>
    <w:p w:rsidR="005E3C11" w:rsidRPr="0035157E" w:rsidRDefault="00AE08EC" w:rsidP="0035157E">
      <w:pPr>
        <w:pStyle w:val="BodyText"/>
        <w:numPr>
          <w:ilvl w:val="0"/>
          <w:numId w:val="21"/>
        </w:numPr>
      </w:pPr>
      <w:r>
        <w:t>Most companies seem to tie it to the size of the BWP (larger bitmap for larger BWP sizes) although ere are proposal on semi-static configuration or to determine it based on the largest configured BWP size (which could help the BWP-dependent DC-size issue)</w:t>
      </w:r>
    </w:p>
    <w:p w:rsidR="00AE08EC" w:rsidRDefault="00AE08EC" w:rsidP="00AE08EC">
      <w:pPr>
        <w:pStyle w:val="BodyText"/>
      </w:pPr>
      <w:r>
        <w:t>The DCI includes a BWP index field which is used to indicate the BWP to use. There are a couple of issues related to this.</w:t>
      </w:r>
    </w:p>
    <w:p w:rsidR="00AE08EC" w:rsidRDefault="00AE08EC" w:rsidP="00EE00A7">
      <w:pPr>
        <w:pStyle w:val="BodyText"/>
        <w:numPr>
          <w:ilvl w:val="0"/>
          <w:numId w:val="21"/>
        </w:numPr>
      </w:pPr>
      <w:r>
        <w:t>When does the BWP index field take effect? The timing is currently not known and may not necessarily scale with the slot length.</w:t>
      </w:r>
    </w:p>
    <w:p w:rsidR="00AE08EC" w:rsidRDefault="00AE08EC" w:rsidP="00EE00A7">
      <w:pPr>
        <w:pStyle w:val="BodyText"/>
        <w:numPr>
          <w:ilvl w:val="0"/>
          <w:numId w:val="21"/>
        </w:numPr>
      </w:pPr>
      <w:r>
        <w:t xml:space="preserve">Is the BWP index related to the resources scheduled by this DCI or should it </w:t>
      </w:r>
      <w:proofErr w:type="gramStart"/>
      <w:r>
        <w:t>be seen as</w:t>
      </w:r>
      <w:proofErr w:type="gramEnd"/>
      <w:r>
        <w:t xml:space="preserve"> a “BWP activation” for future resource allocation? If the number of bits in the resource allocation fields depends on the BWP size the latter might help. If the timing when the BWP change takes effect is long, the time-domain allocation field may need to account for this.</w:t>
      </w:r>
    </w:p>
    <w:p w:rsidR="005E4C4A" w:rsidRDefault="005E4C4A" w:rsidP="00EE00A7">
      <w:pPr>
        <w:pStyle w:val="BodyText"/>
        <w:numPr>
          <w:ilvl w:val="0"/>
          <w:numId w:val="21"/>
        </w:numPr>
      </w:pPr>
      <w:r>
        <w:t>In case of cross-BWP scheduling, which BWP determines the size of the resource allocation field? How does it impact the DCI sizes?</w:t>
      </w:r>
    </w:p>
    <w:p w:rsidR="0035157E" w:rsidRDefault="0035157E" w:rsidP="00F21194">
      <w:pPr>
        <w:pStyle w:val="BodyText"/>
      </w:pPr>
    </w:p>
    <w:p w:rsidR="0035157E" w:rsidRPr="0035157E" w:rsidRDefault="0035157E" w:rsidP="00F21194">
      <w:pPr>
        <w:pStyle w:val="BodyText"/>
        <w:rPr>
          <w:b/>
        </w:rPr>
      </w:pPr>
      <w:r w:rsidRPr="0035157E">
        <w:rPr>
          <w:b/>
        </w:rPr>
        <w:t>Outcome from offline session:</w:t>
      </w:r>
    </w:p>
    <w:p w:rsidR="0035157E" w:rsidRDefault="0035157E" w:rsidP="00F21194">
      <w:pPr>
        <w:pStyle w:val="BodyText"/>
      </w:pPr>
      <w:r>
        <w:t>Three options were discussed without concluding which one to support.</w:t>
      </w:r>
    </w:p>
    <w:p w:rsidR="0035157E" w:rsidRDefault="0035157E" w:rsidP="0035157E">
      <w:pPr>
        <w:pStyle w:val="BodyText"/>
        <w:numPr>
          <w:ilvl w:val="0"/>
          <w:numId w:val="21"/>
        </w:numPr>
      </w:pPr>
      <w:r>
        <w:t>Option 1</w:t>
      </w:r>
    </w:p>
    <w:p w:rsidR="0035157E" w:rsidRDefault="0035157E" w:rsidP="0035157E">
      <w:pPr>
        <w:pStyle w:val="BodyText"/>
        <w:numPr>
          <w:ilvl w:val="1"/>
          <w:numId w:val="21"/>
        </w:numPr>
      </w:pPr>
      <w:r>
        <w:t xml:space="preserve">BWP index changes BWP in the future. DCI information relates to </w:t>
      </w:r>
      <w:r>
        <w:rPr>
          <w:i/>
        </w:rPr>
        <w:t xml:space="preserve">current </w:t>
      </w:r>
      <w:r>
        <w:t>BWP. A later assignment can use the new BWP. DCI size determined by current BWP.</w:t>
      </w:r>
    </w:p>
    <w:p w:rsidR="0035157E" w:rsidRDefault="0035157E" w:rsidP="0035157E">
      <w:pPr>
        <w:pStyle w:val="BodyText"/>
        <w:numPr>
          <w:ilvl w:val="0"/>
          <w:numId w:val="21"/>
        </w:numPr>
      </w:pPr>
      <w:r>
        <w:t>Option 2</w:t>
      </w:r>
    </w:p>
    <w:p w:rsidR="0035157E" w:rsidRDefault="0035157E" w:rsidP="0035157E">
      <w:pPr>
        <w:pStyle w:val="BodyText"/>
        <w:numPr>
          <w:ilvl w:val="1"/>
          <w:numId w:val="21"/>
        </w:numPr>
      </w:pPr>
      <w:r>
        <w:t>BWP index changes BWP. DCI infomation relates to the BWP indicated by the index. Need to be able to schedule into the future beyond the BWP activation time. DCI size determined by the largest BWP.</w:t>
      </w:r>
    </w:p>
    <w:p w:rsidR="0035157E" w:rsidRDefault="0035157E" w:rsidP="0035157E">
      <w:pPr>
        <w:pStyle w:val="BodyText"/>
        <w:numPr>
          <w:ilvl w:val="0"/>
          <w:numId w:val="21"/>
        </w:numPr>
      </w:pPr>
      <w:r>
        <w:t>Option 3</w:t>
      </w:r>
    </w:p>
    <w:p w:rsidR="0035157E" w:rsidRDefault="0035157E" w:rsidP="0035157E">
      <w:pPr>
        <w:pStyle w:val="BodyText"/>
        <w:numPr>
          <w:ilvl w:val="1"/>
          <w:numId w:val="21"/>
        </w:numPr>
      </w:pPr>
      <w:r>
        <w:t xml:space="preserve">BWP index changes BWP. DCI relates to the BWP indicated by the index but the interpretation of the DCI (number of bits) is determined by </w:t>
      </w:r>
      <w:r>
        <w:rPr>
          <w:i/>
        </w:rPr>
        <w:t xml:space="preserve">current </w:t>
      </w:r>
      <w:r>
        <w:t>BWP. Need some rule how to apply the DCI information to a different BWP.</w:t>
      </w:r>
    </w:p>
    <w:p w:rsidR="00747E75" w:rsidRDefault="00747E75" w:rsidP="00747E75">
      <w:pPr>
        <w:pStyle w:val="Heading2"/>
        <w:rPr>
          <w:lang w:val="en-US"/>
        </w:rPr>
      </w:pPr>
      <w:r w:rsidRPr="00747E75">
        <w:rPr>
          <w:lang w:val="en-US"/>
        </w:rPr>
        <w:t>Number</w:t>
      </w:r>
      <w:r>
        <w:rPr>
          <w:lang w:val="en-US"/>
        </w:rPr>
        <w:t xml:space="preserve"> of bits for SLIV</w:t>
      </w:r>
    </w:p>
    <w:p w:rsidR="00747E75" w:rsidRDefault="00747E75" w:rsidP="00747E75">
      <w:pPr>
        <w:pStyle w:val="BodyText"/>
        <w:rPr>
          <w:lang w:eastAsia="sv-SE"/>
        </w:rPr>
      </w:pPr>
      <w:r>
        <w:rPr>
          <w:lang w:eastAsia="sv-SE"/>
        </w:rPr>
        <w:t>RAN1#91 decided to use 6 bits for jointly indicting the starting OFDM symbol and the number of OFDM symbols when configuring the time-domain allocation table</w:t>
      </w:r>
      <w:r w:rsidR="00EC7D1E">
        <w:rPr>
          <w:lang w:eastAsia="sv-SE"/>
        </w:rPr>
        <w:t xml:space="preserve"> using RRC</w:t>
      </w:r>
      <w:r>
        <w:rPr>
          <w:lang w:eastAsia="sv-SE"/>
        </w:rPr>
        <w:t xml:space="preserve">. Later during RAN1#91 it was decided to do this joint encoding using the LTE-like procedure captured in 38.214 (“SLIV index”) which requires 7 bits. This mismatch was known in the offline session making this proposal and no problems were seen (it affects the RRC configuration and not the more overhead-critical DCI signaling). However, some companies have made different proposal on how to reduce the 7 bits to 6 bits in the RRC message. </w:t>
      </w:r>
      <w:r w:rsidR="000F74CF">
        <w:rPr>
          <w:lang w:eastAsia="sv-SE"/>
        </w:rPr>
        <w:t xml:space="preserve">There was also a comment that explicitly listing all relevant combinations in a table may be a better approach. </w:t>
      </w:r>
      <w:r>
        <w:rPr>
          <w:lang w:eastAsia="sv-SE"/>
        </w:rPr>
        <w:t>Given that the current scheme works and there is no critical overhead aspect, it is proposed not to change the specification on this aspect.</w:t>
      </w:r>
    </w:p>
    <w:p w:rsidR="00FF664C" w:rsidRDefault="00FF664C" w:rsidP="00747E75">
      <w:pPr>
        <w:pStyle w:val="BodyText"/>
        <w:rPr>
          <w:lang w:eastAsia="sv-SE"/>
        </w:rPr>
      </w:pPr>
    </w:p>
    <w:p w:rsidR="0035157E" w:rsidRPr="0035157E" w:rsidRDefault="0035157E" w:rsidP="0035157E">
      <w:pPr>
        <w:pStyle w:val="BodyText"/>
        <w:rPr>
          <w:b/>
        </w:rPr>
      </w:pPr>
      <w:r w:rsidRPr="0035157E">
        <w:rPr>
          <w:b/>
        </w:rPr>
        <w:t>Outcome from offline session:</w:t>
      </w:r>
    </w:p>
    <w:p w:rsidR="005E5D37" w:rsidRDefault="005E5D37" w:rsidP="00747E75">
      <w:pPr>
        <w:pStyle w:val="BodyText"/>
        <w:rPr>
          <w:lang w:eastAsia="sv-SE"/>
        </w:rPr>
      </w:pPr>
      <w:r>
        <w:rPr>
          <w:lang w:eastAsia="sv-SE"/>
        </w:rPr>
        <w:t>Keep current the current signaling description in the RAN1 specifications</w:t>
      </w:r>
      <w:r w:rsidR="00086EB2">
        <w:rPr>
          <w:lang w:eastAsia="sv-SE"/>
        </w:rPr>
        <w:t xml:space="preserve"> (which uses 7 bits for SLIV)</w:t>
      </w:r>
    </w:p>
    <w:p w:rsidR="005E5D37" w:rsidRDefault="00400DD4" w:rsidP="00747E75">
      <w:pPr>
        <w:pStyle w:val="BodyText"/>
        <w:rPr>
          <w:lang w:eastAsia="sv-SE"/>
        </w:rPr>
      </w:pPr>
      <w:r>
        <w:rPr>
          <w:lang w:eastAsia="sv-SE"/>
        </w:rPr>
        <w:t>C</w:t>
      </w:r>
      <w:r w:rsidR="005E5D37">
        <w:rPr>
          <w:lang w:eastAsia="sv-SE"/>
        </w:rPr>
        <w:t>apture what the UE should support (i.e. avoid “unreasonable” cases like PDSCH type A mapping with data starting very late in the slot).</w:t>
      </w:r>
      <w:r w:rsidR="0066568F">
        <w:rPr>
          <w:lang w:eastAsia="sv-SE"/>
        </w:rPr>
        <w:t xml:space="preserve"> Intel to prepare a first proposal on reasonable/unreasonable combinations to discuss around.</w:t>
      </w:r>
    </w:p>
    <w:p w:rsidR="00747E75" w:rsidRDefault="00747E75" w:rsidP="00747E75">
      <w:pPr>
        <w:pStyle w:val="Heading2"/>
        <w:rPr>
          <w:lang w:val="en-US"/>
        </w:rPr>
      </w:pPr>
      <w:r w:rsidRPr="00747E75">
        <w:rPr>
          <w:lang w:val="en-US"/>
        </w:rPr>
        <w:t xml:space="preserve">Reference point for time-domain </w:t>
      </w:r>
      <w:r>
        <w:rPr>
          <w:lang w:val="en-US"/>
        </w:rPr>
        <w:t>allocation</w:t>
      </w:r>
    </w:p>
    <w:p w:rsidR="00747E75" w:rsidRDefault="00747E75" w:rsidP="00747E75">
      <w:pPr>
        <w:pStyle w:val="BodyText"/>
        <w:rPr>
          <w:lang w:eastAsia="sv-SE"/>
        </w:rPr>
      </w:pPr>
      <w:r>
        <w:rPr>
          <w:lang w:eastAsia="sv-SE"/>
        </w:rPr>
        <w:t xml:space="preserve">The </w:t>
      </w:r>
      <w:r w:rsidR="00C944EC">
        <w:rPr>
          <w:lang w:eastAsia="sv-SE"/>
        </w:rPr>
        <w:t>reference</w:t>
      </w:r>
      <w:r>
        <w:rPr>
          <w:lang w:eastAsia="sv-SE"/>
        </w:rPr>
        <w:t xml:space="preserve"> point when defining the time domain </w:t>
      </w:r>
      <w:r w:rsidR="00C944EC">
        <w:rPr>
          <w:lang w:eastAsia="sv-SE"/>
        </w:rPr>
        <w:t>allocation</w:t>
      </w:r>
      <w:r>
        <w:rPr>
          <w:lang w:eastAsia="sv-SE"/>
        </w:rPr>
        <w:t xml:space="preserve"> in symbols is open in the specifications</w:t>
      </w:r>
      <w:r w:rsidR="00C944EC">
        <w:rPr>
          <w:lang w:eastAsia="sv-SE"/>
        </w:rPr>
        <w:t xml:space="preserve">. </w:t>
      </w:r>
      <w:r w:rsidR="00FE6FED">
        <w:rPr>
          <w:lang w:eastAsia="sv-SE"/>
        </w:rPr>
        <w:t>Either</w:t>
      </w:r>
      <w:r w:rsidR="00C944EC">
        <w:rPr>
          <w:lang w:eastAsia="sv-SE"/>
        </w:rPr>
        <w:t xml:space="preserve"> the slot boundary is used or the CORESET </w:t>
      </w:r>
      <w:r w:rsidR="00FE6FED">
        <w:rPr>
          <w:lang w:eastAsia="sv-SE"/>
        </w:rPr>
        <w:t>containing</w:t>
      </w:r>
      <w:r w:rsidR="00C944EC">
        <w:rPr>
          <w:lang w:eastAsia="sv-SE"/>
        </w:rPr>
        <w:t xml:space="preserve"> the PDCCH scheduling the transmission.</w:t>
      </w:r>
      <w:r w:rsidR="00FE6FED">
        <w:rPr>
          <w:lang w:eastAsia="sv-SE"/>
        </w:rPr>
        <w:t xml:space="preserve"> For PDSCH mapping type A, using the slot boundary is straight forward and proposed by most companies. For PDSCH mapping type B using the CORESET can result in a more flexible scheme (one table entry can be used for multiple CORESET locations), but there is no clear majority in either direction.</w:t>
      </w:r>
    </w:p>
    <w:p w:rsidR="005E5D37" w:rsidRDefault="005E5D37" w:rsidP="00747E75">
      <w:pPr>
        <w:pStyle w:val="BodyText"/>
        <w:rPr>
          <w:lang w:eastAsia="sv-SE"/>
        </w:rPr>
      </w:pPr>
    </w:p>
    <w:p w:rsidR="0035157E" w:rsidRPr="0035157E" w:rsidRDefault="0035157E" w:rsidP="0035157E">
      <w:pPr>
        <w:pStyle w:val="BodyText"/>
        <w:rPr>
          <w:b/>
        </w:rPr>
      </w:pPr>
      <w:r w:rsidRPr="0035157E">
        <w:rPr>
          <w:b/>
        </w:rPr>
        <w:t>Outcome from offline session:</w:t>
      </w:r>
    </w:p>
    <w:p w:rsidR="00141A34" w:rsidRDefault="00141A34" w:rsidP="00747E75">
      <w:pPr>
        <w:pStyle w:val="BodyText"/>
        <w:rPr>
          <w:lang w:eastAsia="sv-SE"/>
        </w:rPr>
      </w:pPr>
      <w:r>
        <w:rPr>
          <w:lang w:eastAsia="sv-SE"/>
        </w:rPr>
        <w:t>Slot boundary for PDSCH mapping type A.</w:t>
      </w:r>
    </w:p>
    <w:p w:rsidR="00827AEA" w:rsidRDefault="00BA304C" w:rsidP="00827AEA">
      <w:pPr>
        <w:pStyle w:val="BodyText"/>
        <w:rPr>
          <w:lang w:eastAsia="sv-SE"/>
        </w:rPr>
      </w:pPr>
      <w:r>
        <w:rPr>
          <w:lang w:eastAsia="sv-SE"/>
        </w:rPr>
        <w:t>FFS: Slot</w:t>
      </w:r>
      <w:r w:rsidR="00827AEA">
        <w:rPr>
          <w:lang w:eastAsia="sv-SE"/>
        </w:rPr>
        <w:t xml:space="preserve"> </w:t>
      </w:r>
      <w:r>
        <w:rPr>
          <w:lang w:eastAsia="sv-SE"/>
        </w:rPr>
        <w:t xml:space="preserve">boundary or CORESET </w:t>
      </w:r>
      <w:r w:rsidR="00827AEA">
        <w:rPr>
          <w:lang w:eastAsia="sv-SE"/>
        </w:rPr>
        <w:t xml:space="preserve">for PDSCH mapping type </w:t>
      </w:r>
      <w:r w:rsidR="00827AEA">
        <w:rPr>
          <w:lang w:eastAsia="sv-SE"/>
        </w:rPr>
        <w:t>B</w:t>
      </w:r>
      <w:r w:rsidR="00827AEA">
        <w:rPr>
          <w:lang w:eastAsia="sv-SE"/>
        </w:rPr>
        <w:t>.</w:t>
      </w:r>
    </w:p>
    <w:p w:rsidR="00827AEA" w:rsidRDefault="00827AEA" w:rsidP="00827AEA">
      <w:pPr>
        <w:pStyle w:val="BodyText"/>
        <w:rPr>
          <w:lang w:eastAsia="sv-SE"/>
        </w:rPr>
      </w:pPr>
      <w:r>
        <w:rPr>
          <w:lang w:eastAsia="sv-SE"/>
        </w:rPr>
        <w:t>Slot boundary for P</w:t>
      </w:r>
      <w:r>
        <w:rPr>
          <w:lang w:eastAsia="sv-SE"/>
        </w:rPr>
        <w:t>U</w:t>
      </w:r>
      <w:r>
        <w:rPr>
          <w:lang w:eastAsia="sv-SE"/>
        </w:rPr>
        <w:t>SCH mapping type A.</w:t>
      </w:r>
    </w:p>
    <w:p w:rsidR="00827AEA" w:rsidRDefault="00827AEA" w:rsidP="00827AEA">
      <w:pPr>
        <w:pStyle w:val="BodyText"/>
        <w:rPr>
          <w:lang w:eastAsia="sv-SE"/>
        </w:rPr>
      </w:pPr>
      <w:r>
        <w:rPr>
          <w:lang w:eastAsia="sv-SE"/>
        </w:rPr>
        <w:t>Slot boundary for P</w:t>
      </w:r>
      <w:r>
        <w:rPr>
          <w:lang w:eastAsia="sv-SE"/>
        </w:rPr>
        <w:t>U</w:t>
      </w:r>
      <w:r>
        <w:rPr>
          <w:lang w:eastAsia="sv-SE"/>
        </w:rPr>
        <w:t xml:space="preserve">SCH mapping type </w:t>
      </w:r>
      <w:r>
        <w:rPr>
          <w:lang w:eastAsia="sv-SE"/>
        </w:rPr>
        <w:t>B</w:t>
      </w:r>
      <w:r>
        <w:rPr>
          <w:lang w:eastAsia="sv-SE"/>
        </w:rPr>
        <w:t>.</w:t>
      </w:r>
    </w:p>
    <w:p w:rsidR="005E5D37" w:rsidRDefault="005E5D37" w:rsidP="00747E75">
      <w:pPr>
        <w:pStyle w:val="BodyText"/>
        <w:rPr>
          <w:lang w:eastAsia="sv-SE"/>
        </w:rPr>
      </w:pPr>
    </w:p>
    <w:p w:rsidR="00A636AC" w:rsidRDefault="00E37929" w:rsidP="00747E75">
      <w:pPr>
        <w:pStyle w:val="BodyText"/>
        <w:rPr>
          <w:lang w:eastAsia="sv-SE"/>
        </w:rPr>
      </w:pPr>
      <w:r>
        <w:rPr>
          <w:lang w:eastAsia="sv-SE"/>
        </w:rPr>
        <w:t xml:space="preserve">Note: </w:t>
      </w:r>
      <w:r w:rsidR="00BA304C">
        <w:rPr>
          <w:lang w:eastAsia="sv-SE"/>
        </w:rPr>
        <w:t>This does not restrict the design of a future compact DCI.</w:t>
      </w:r>
    </w:p>
    <w:sectPr w:rsidR="00A636AC"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409" w:rsidRDefault="004F7409" w:rsidP="00896408">
      <w:r>
        <w:separator/>
      </w:r>
    </w:p>
  </w:endnote>
  <w:endnote w:type="continuationSeparator" w:id="0">
    <w:p w:rsidR="004F7409" w:rsidRDefault="004F740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409" w:rsidRDefault="004F7409" w:rsidP="00896408">
      <w:r>
        <w:separator/>
      </w:r>
    </w:p>
  </w:footnote>
  <w:footnote w:type="continuationSeparator" w:id="0">
    <w:p w:rsidR="004F7409" w:rsidRDefault="004F7409"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E6141"/>
    <w:multiLevelType w:val="hybridMultilevel"/>
    <w:tmpl w:val="9F2490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D741328"/>
    <w:multiLevelType w:val="hybridMultilevel"/>
    <w:tmpl w:val="21FE80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46A9E"/>
    <w:multiLevelType w:val="hybridMultilevel"/>
    <w:tmpl w:val="1ADCE1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B2339E"/>
    <w:multiLevelType w:val="hybridMultilevel"/>
    <w:tmpl w:val="DCB47B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D6B6EE8"/>
    <w:multiLevelType w:val="hybridMultilevel"/>
    <w:tmpl w:val="D040B8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6D7B7E"/>
    <w:multiLevelType w:val="hybridMultilevel"/>
    <w:tmpl w:val="DBF24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D53BCA"/>
    <w:multiLevelType w:val="hybridMultilevel"/>
    <w:tmpl w:val="CB0AF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7229A4"/>
    <w:multiLevelType w:val="hybridMultilevel"/>
    <w:tmpl w:val="461C0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7CF5831"/>
    <w:multiLevelType w:val="hybridMultilevel"/>
    <w:tmpl w:val="221C0E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EE5F15"/>
    <w:multiLevelType w:val="hybridMultilevel"/>
    <w:tmpl w:val="7A9AE7C8"/>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SimSun" w:hAnsi="Times New Roman" w:cs="Times New Roman" w:hint="default"/>
      </w:rPr>
    </w:lvl>
    <w:lvl w:ilvl="2" w:tplc="D75C8F48">
      <w:start w:val="4"/>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BDB3682"/>
    <w:multiLevelType w:val="hybridMultilevel"/>
    <w:tmpl w:val="8992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7A4E23"/>
    <w:multiLevelType w:val="hybridMultilevel"/>
    <w:tmpl w:val="D82491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B312E9"/>
    <w:multiLevelType w:val="hybridMultilevel"/>
    <w:tmpl w:val="6980B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E10DBA"/>
    <w:multiLevelType w:val="hybridMultilevel"/>
    <w:tmpl w:val="87D6A0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EED5754"/>
    <w:multiLevelType w:val="hybridMultilevel"/>
    <w:tmpl w:val="0EE25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F912404"/>
    <w:multiLevelType w:val="hybridMultilevel"/>
    <w:tmpl w:val="861E8E7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0"/>
  </w:num>
  <w:num w:numId="4">
    <w:abstractNumId w:val="7"/>
  </w:num>
  <w:num w:numId="5">
    <w:abstractNumId w:val="18"/>
  </w:num>
  <w:num w:numId="6">
    <w:abstractNumId w:val="3"/>
  </w:num>
  <w:num w:numId="7">
    <w:abstractNumId w:val="12"/>
  </w:num>
  <w:num w:numId="8">
    <w:abstractNumId w:val="4"/>
  </w:num>
  <w:num w:numId="9">
    <w:abstractNumId w:val="22"/>
  </w:num>
  <w:num w:numId="10">
    <w:abstractNumId w:val="15"/>
  </w:num>
  <w:num w:numId="11">
    <w:abstractNumId w:val="8"/>
  </w:num>
  <w:num w:numId="12">
    <w:abstractNumId w:val="17"/>
  </w:num>
  <w:num w:numId="13">
    <w:abstractNumId w:val="14"/>
  </w:num>
  <w:num w:numId="14">
    <w:abstractNumId w:val="10"/>
  </w:num>
  <w:num w:numId="15">
    <w:abstractNumId w:val="0"/>
  </w:num>
  <w:num w:numId="16">
    <w:abstractNumId w:val="5"/>
  </w:num>
  <w:num w:numId="17">
    <w:abstractNumId w:val="13"/>
  </w:num>
  <w:num w:numId="18">
    <w:abstractNumId w:val="1"/>
  </w:num>
  <w:num w:numId="19">
    <w:abstractNumId w:val="19"/>
  </w:num>
  <w:num w:numId="20">
    <w:abstractNumId w:val="2"/>
  </w:num>
  <w:num w:numId="21">
    <w:abstractNumId w:val="16"/>
  </w:num>
  <w:num w:numId="22">
    <w:abstractNumId w:val="6"/>
  </w:num>
  <w:num w:numId="23">
    <w:abstractNumId w:val="11"/>
  </w:num>
  <w:num w:numId="2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10948"/>
    <w:rsid w:val="00013A55"/>
    <w:rsid w:val="00013C3A"/>
    <w:rsid w:val="000208D5"/>
    <w:rsid w:val="00021435"/>
    <w:rsid w:val="00024F13"/>
    <w:rsid w:val="0004324B"/>
    <w:rsid w:val="0006632E"/>
    <w:rsid w:val="000810D1"/>
    <w:rsid w:val="00084EEE"/>
    <w:rsid w:val="00086EB2"/>
    <w:rsid w:val="00092786"/>
    <w:rsid w:val="000A493B"/>
    <w:rsid w:val="000C34BC"/>
    <w:rsid w:val="000C5F12"/>
    <w:rsid w:val="000D3133"/>
    <w:rsid w:val="000F74CF"/>
    <w:rsid w:val="00106665"/>
    <w:rsid w:val="001372E8"/>
    <w:rsid w:val="00141A34"/>
    <w:rsid w:val="00172B21"/>
    <w:rsid w:val="001939DB"/>
    <w:rsid w:val="001B091B"/>
    <w:rsid w:val="001B64CA"/>
    <w:rsid w:val="001C4191"/>
    <w:rsid w:val="001E0842"/>
    <w:rsid w:val="001E2FED"/>
    <w:rsid w:val="001E3BF9"/>
    <w:rsid w:val="001E5AFE"/>
    <w:rsid w:val="00202AE8"/>
    <w:rsid w:val="002060B9"/>
    <w:rsid w:val="0022264C"/>
    <w:rsid w:val="00225F7C"/>
    <w:rsid w:val="00231553"/>
    <w:rsid w:val="002553B4"/>
    <w:rsid w:val="002555BA"/>
    <w:rsid w:val="00262FC3"/>
    <w:rsid w:val="00266DED"/>
    <w:rsid w:val="00273BAB"/>
    <w:rsid w:val="0028065B"/>
    <w:rsid w:val="00286B6D"/>
    <w:rsid w:val="0029521F"/>
    <w:rsid w:val="002B0DDD"/>
    <w:rsid w:val="002B4D84"/>
    <w:rsid w:val="002B59EF"/>
    <w:rsid w:val="002C628D"/>
    <w:rsid w:val="002D263D"/>
    <w:rsid w:val="0033205D"/>
    <w:rsid w:val="00341942"/>
    <w:rsid w:val="00343C26"/>
    <w:rsid w:val="0034475B"/>
    <w:rsid w:val="0035157E"/>
    <w:rsid w:val="00365BA9"/>
    <w:rsid w:val="00365CE4"/>
    <w:rsid w:val="0037183E"/>
    <w:rsid w:val="00393FEA"/>
    <w:rsid w:val="003B5C12"/>
    <w:rsid w:val="003C0047"/>
    <w:rsid w:val="003C2310"/>
    <w:rsid w:val="003D7A55"/>
    <w:rsid w:val="003E25B9"/>
    <w:rsid w:val="003F1A00"/>
    <w:rsid w:val="00400DD4"/>
    <w:rsid w:val="00411E33"/>
    <w:rsid w:val="00414C25"/>
    <w:rsid w:val="00416DEC"/>
    <w:rsid w:val="00466B56"/>
    <w:rsid w:val="0046740A"/>
    <w:rsid w:val="00471D7F"/>
    <w:rsid w:val="0048093F"/>
    <w:rsid w:val="00483C16"/>
    <w:rsid w:val="004900B0"/>
    <w:rsid w:val="004A073D"/>
    <w:rsid w:val="004B4109"/>
    <w:rsid w:val="004C672E"/>
    <w:rsid w:val="004D7FE0"/>
    <w:rsid w:val="004F430F"/>
    <w:rsid w:val="004F7409"/>
    <w:rsid w:val="00500D11"/>
    <w:rsid w:val="00504A5D"/>
    <w:rsid w:val="00504AD2"/>
    <w:rsid w:val="005053EA"/>
    <w:rsid w:val="00507B1D"/>
    <w:rsid w:val="00510D00"/>
    <w:rsid w:val="00511208"/>
    <w:rsid w:val="005164F1"/>
    <w:rsid w:val="0052140E"/>
    <w:rsid w:val="0053186E"/>
    <w:rsid w:val="00534036"/>
    <w:rsid w:val="00544261"/>
    <w:rsid w:val="005514B5"/>
    <w:rsid w:val="005538D6"/>
    <w:rsid w:val="005838EA"/>
    <w:rsid w:val="00585773"/>
    <w:rsid w:val="005C77FC"/>
    <w:rsid w:val="005D04D6"/>
    <w:rsid w:val="005E3C11"/>
    <w:rsid w:val="005E4C4A"/>
    <w:rsid w:val="005E5D37"/>
    <w:rsid w:val="00607CF7"/>
    <w:rsid w:val="00614513"/>
    <w:rsid w:val="006214E0"/>
    <w:rsid w:val="00624B89"/>
    <w:rsid w:val="0063517D"/>
    <w:rsid w:val="00637F1A"/>
    <w:rsid w:val="00643325"/>
    <w:rsid w:val="006617D2"/>
    <w:rsid w:val="00662937"/>
    <w:rsid w:val="0066410A"/>
    <w:rsid w:val="0066568F"/>
    <w:rsid w:val="00666BD1"/>
    <w:rsid w:val="006722D2"/>
    <w:rsid w:val="006778D9"/>
    <w:rsid w:val="0068782F"/>
    <w:rsid w:val="00690B48"/>
    <w:rsid w:val="0069445A"/>
    <w:rsid w:val="006A286A"/>
    <w:rsid w:val="006B21CA"/>
    <w:rsid w:val="006B791A"/>
    <w:rsid w:val="006B7B69"/>
    <w:rsid w:val="006C3336"/>
    <w:rsid w:val="006C571B"/>
    <w:rsid w:val="006C7AB7"/>
    <w:rsid w:val="006F5F5F"/>
    <w:rsid w:val="00730B93"/>
    <w:rsid w:val="00737C08"/>
    <w:rsid w:val="00747376"/>
    <w:rsid w:val="00747E75"/>
    <w:rsid w:val="00765408"/>
    <w:rsid w:val="007660C7"/>
    <w:rsid w:val="0078136E"/>
    <w:rsid w:val="00785910"/>
    <w:rsid w:val="007B5D22"/>
    <w:rsid w:val="007C690E"/>
    <w:rsid w:val="007E0C1B"/>
    <w:rsid w:val="007E7190"/>
    <w:rsid w:val="007F5DBD"/>
    <w:rsid w:val="00802FBE"/>
    <w:rsid w:val="00803288"/>
    <w:rsid w:val="00816181"/>
    <w:rsid w:val="00827AEA"/>
    <w:rsid w:val="008349ED"/>
    <w:rsid w:val="0084311E"/>
    <w:rsid w:val="00850100"/>
    <w:rsid w:val="00853D38"/>
    <w:rsid w:val="00857E6D"/>
    <w:rsid w:val="00860E63"/>
    <w:rsid w:val="008830AE"/>
    <w:rsid w:val="00887DEA"/>
    <w:rsid w:val="00896408"/>
    <w:rsid w:val="008A0342"/>
    <w:rsid w:val="008B7500"/>
    <w:rsid w:val="008C33E3"/>
    <w:rsid w:val="008D0E47"/>
    <w:rsid w:val="008E08BF"/>
    <w:rsid w:val="00900A98"/>
    <w:rsid w:val="00915AE7"/>
    <w:rsid w:val="00923057"/>
    <w:rsid w:val="00924C15"/>
    <w:rsid w:val="00931200"/>
    <w:rsid w:val="00942F98"/>
    <w:rsid w:val="00945406"/>
    <w:rsid w:val="00947B38"/>
    <w:rsid w:val="00950E21"/>
    <w:rsid w:val="00956DC0"/>
    <w:rsid w:val="009770FF"/>
    <w:rsid w:val="009A0611"/>
    <w:rsid w:val="009E46CD"/>
    <w:rsid w:val="009F7D8C"/>
    <w:rsid w:val="00A417B5"/>
    <w:rsid w:val="00A42CFD"/>
    <w:rsid w:val="00A60ED5"/>
    <w:rsid w:val="00A636AC"/>
    <w:rsid w:val="00A6549D"/>
    <w:rsid w:val="00A92154"/>
    <w:rsid w:val="00AB5904"/>
    <w:rsid w:val="00AC5D2E"/>
    <w:rsid w:val="00AC643E"/>
    <w:rsid w:val="00AC6C5E"/>
    <w:rsid w:val="00AD4ED5"/>
    <w:rsid w:val="00AE08EC"/>
    <w:rsid w:val="00AE446C"/>
    <w:rsid w:val="00B03ED8"/>
    <w:rsid w:val="00B1604D"/>
    <w:rsid w:val="00B3535F"/>
    <w:rsid w:val="00B368D9"/>
    <w:rsid w:val="00B5007A"/>
    <w:rsid w:val="00B65EE6"/>
    <w:rsid w:val="00B715F8"/>
    <w:rsid w:val="00BA304C"/>
    <w:rsid w:val="00BB1E11"/>
    <w:rsid w:val="00BB2430"/>
    <w:rsid w:val="00BB3188"/>
    <w:rsid w:val="00BB5DED"/>
    <w:rsid w:val="00BB7B54"/>
    <w:rsid w:val="00BE4063"/>
    <w:rsid w:val="00BF1ADA"/>
    <w:rsid w:val="00C1560A"/>
    <w:rsid w:val="00C15D4D"/>
    <w:rsid w:val="00C20AD3"/>
    <w:rsid w:val="00C24469"/>
    <w:rsid w:val="00C249BF"/>
    <w:rsid w:val="00C52272"/>
    <w:rsid w:val="00C60FA1"/>
    <w:rsid w:val="00C62894"/>
    <w:rsid w:val="00C8496C"/>
    <w:rsid w:val="00C944EC"/>
    <w:rsid w:val="00C96B53"/>
    <w:rsid w:val="00CB51BD"/>
    <w:rsid w:val="00CB5A40"/>
    <w:rsid w:val="00CC1CA7"/>
    <w:rsid w:val="00CD0539"/>
    <w:rsid w:val="00CD1737"/>
    <w:rsid w:val="00CE6CB0"/>
    <w:rsid w:val="00CE7B9C"/>
    <w:rsid w:val="00CF7AFA"/>
    <w:rsid w:val="00D03072"/>
    <w:rsid w:val="00D25315"/>
    <w:rsid w:val="00D2653D"/>
    <w:rsid w:val="00D43FB1"/>
    <w:rsid w:val="00D44A43"/>
    <w:rsid w:val="00D52043"/>
    <w:rsid w:val="00D577BB"/>
    <w:rsid w:val="00D57BEB"/>
    <w:rsid w:val="00D73ABA"/>
    <w:rsid w:val="00D77339"/>
    <w:rsid w:val="00D80FB6"/>
    <w:rsid w:val="00D900AE"/>
    <w:rsid w:val="00D927C3"/>
    <w:rsid w:val="00D92AB5"/>
    <w:rsid w:val="00DB6ED2"/>
    <w:rsid w:val="00DB7F3F"/>
    <w:rsid w:val="00DC1A2A"/>
    <w:rsid w:val="00DC4DF2"/>
    <w:rsid w:val="00DD11CB"/>
    <w:rsid w:val="00DD6704"/>
    <w:rsid w:val="00DE0C0A"/>
    <w:rsid w:val="00DE1BAA"/>
    <w:rsid w:val="00DF03C6"/>
    <w:rsid w:val="00DF44AB"/>
    <w:rsid w:val="00E003DD"/>
    <w:rsid w:val="00E10C1F"/>
    <w:rsid w:val="00E20E32"/>
    <w:rsid w:val="00E2157C"/>
    <w:rsid w:val="00E25B87"/>
    <w:rsid w:val="00E30C81"/>
    <w:rsid w:val="00E33BAF"/>
    <w:rsid w:val="00E34104"/>
    <w:rsid w:val="00E37929"/>
    <w:rsid w:val="00E44C15"/>
    <w:rsid w:val="00E55D5E"/>
    <w:rsid w:val="00E649CA"/>
    <w:rsid w:val="00E710D4"/>
    <w:rsid w:val="00E73C4A"/>
    <w:rsid w:val="00E77525"/>
    <w:rsid w:val="00EA35DE"/>
    <w:rsid w:val="00EB26FB"/>
    <w:rsid w:val="00EB69C7"/>
    <w:rsid w:val="00EC2F3D"/>
    <w:rsid w:val="00EC7107"/>
    <w:rsid w:val="00EC7D1E"/>
    <w:rsid w:val="00EE00A7"/>
    <w:rsid w:val="00EE2EAD"/>
    <w:rsid w:val="00EE7B08"/>
    <w:rsid w:val="00F133AD"/>
    <w:rsid w:val="00F21194"/>
    <w:rsid w:val="00F346B4"/>
    <w:rsid w:val="00F618ED"/>
    <w:rsid w:val="00F6546D"/>
    <w:rsid w:val="00F74C55"/>
    <w:rsid w:val="00F77B17"/>
    <w:rsid w:val="00F81C1C"/>
    <w:rsid w:val="00F8247A"/>
    <w:rsid w:val="00F84F05"/>
    <w:rsid w:val="00F8504A"/>
    <w:rsid w:val="00F92325"/>
    <w:rsid w:val="00FA2D6F"/>
    <w:rsid w:val="00FB0539"/>
    <w:rsid w:val="00FB19AB"/>
    <w:rsid w:val="00FB441E"/>
    <w:rsid w:val="00FC7919"/>
    <w:rsid w:val="00FE1148"/>
    <w:rsid w:val="00FE6FED"/>
    <w:rsid w:val="00FF199B"/>
    <w:rsid w:val="00FF5ECA"/>
    <w:rsid w:val="00FF664C"/>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F90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8758">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3796507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BC4CC-6B74-425F-B56C-98CE756AB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2018-01-23T00:54:00Z</dcterms:created>
  <dcterms:modified xsi:type="dcterms:W3CDTF">2018-01-23T03:38:00Z</dcterms:modified>
</cp:coreProperties>
</file>